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8DCF7" w14:textId="62A50A00" w:rsidR="008E11DA" w:rsidRPr="00127057" w:rsidRDefault="000208AF" w:rsidP="008E11DA">
      <w:pPr>
        <w:pStyle w:val="Naslov4"/>
        <w:spacing w:after="0"/>
      </w:pPr>
      <w:r>
        <w:t>109 15 ZATVORI I KAZNIONICE</w:t>
      </w:r>
    </w:p>
    <w:p w14:paraId="61159421" w14:textId="77777777" w:rsidR="001C051D" w:rsidRDefault="001C051D" w:rsidP="001C051D">
      <w:pPr>
        <w:rPr>
          <w:i/>
          <w:sz w:val="24"/>
          <w:szCs w:val="24"/>
          <w:lang w:val="hr-HR"/>
        </w:rPr>
      </w:pPr>
    </w:p>
    <w:p w14:paraId="79A5681D" w14:textId="77777777" w:rsidR="00AC272E" w:rsidRPr="009C308D" w:rsidRDefault="00AC272E" w:rsidP="00AC272E">
      <w:pPr>
        <w:rPr>
          <w:b/>
          <w:i/>
          <w:sz w:val="24"/>
          <w:szCs w:val="24"/>
          <w:lang w:val="hr-HR"/>
        </w:rPr>
      </w:pPr>
      <w:r w:rsidRPr="009C308D">
        <w:rPr>
          <w:b/>
          <w:i/>
          <w:sz w:val="24"/>
          <w:szCs w:val="24"/>
          <w:lang w:val="hr-HR"/>
        </w:rPr>
        <w:t>3244 ZATVOR U KARLOVCU</w:t>
      </w:r>
    </w:p>
    <w:p w14:paraId="3393F991" w14:textId="394CE584" w:rsidR="00AC272E" w:rsidRPr="00AC272E" w:rsidRDefault="00AC272E" w:rsidP="008E11DA">
      <w:pPr>
        <w:rPr>
          <w:sz w:val="24"/>
          <w:szCs w:val="24"/>
          <w:lang w:val="hr-HR"/>
        </w:rPr>
      </w:pPr>
      <w:r w:rsidRPr="009C308D">
        <w:rPr>
          <w:sz w:val="24"/>
          <w:szCs w:val="24"/>
          <w:lang w:val="hr-HR"/>
        </w:rPr>
        <w:t>Zatvor u Karlovcu kazneno je tijelo zatvorenoga tipa u kojoj se izvršavaju izrečene kazne počiniteljima u kaznenom, prekršajnom ili drugom postupku, te obavljaju poslovi iz  nadležnosti i u skladu sa Zakonom o izvršavanju kazne zatvora. Spomenuti poslovi podrazumijevaju organizaciju života zatvorenika za vrijeme izvršavanja kazne zatvora koja podrazumijeva: osiguranje odgovarajućeg smještaja i prehrane, zdravstvene zaštite, organiziranje smislenih slobodnih aktivnosti kako bi se osigurale tjelesne, duhovne i kulturne potrebe, poticanje radne aktivnost osoba na izdržavanju kazne zatvora i osiguranje rada kad je to moguće, osiguranje zakonitog, svrsishodnog i učinkovitog postupanja u području ostvarivanja prava zatvorenika,  primjenu tretmanskih pogodnosti radi pripreme počinitelja za ponovno integriranje u društvenu zajednicu  i osposobljavanje za samostalni život na slobodi u skladu sa društvenim normama uz istovremeno pružanje pomoći u otklanjanju štete nanesene kaznenim djelom i pomirenju sa žrtvama.</w:t>
      </w:r>
    </w:p>
    <w:p w14:paraId="1B251BBA" w14:textId="77777777" w:rsidR="00AC272E" w:rsidRPr="001E76CC" w:rsidRDefault="00AC272E" w:rsidP="008E11DA">
      <w:pPr>
        <w:rPr>
          <w:i/>
          <w:iCs/>
          <w:color w:val="767171" w:themeColor="background2" w:themeShade="80"/>
          <w:szCs w:val="22"/>
        </w:rPr>
      </w:pPr>
    </w:p>
    <w:p w14:paraId="7ED6EA41" w14:textId="3DD69CF1" w:rsidR="00AC272E" w:rsidRDefault="008E11DA" w:rsidP="00AC272E">
      <w:pPr>
        <w:pStyle w:val="Naslov8"/>
        <w:spacing w:after="0"/>
        <w:jc w:val="left"/>
        <w:rPr>
          <w:szCs w:val="22"/>
        </w:rPr>
      </w:pPr>
      <w:r w:rsidRPr="00C41928">
        <w:rPr>
          <w:szCs w:val="22"/>
        </w:rPr>
        <w:t>Zakonske i druge pravne osnove</w:t>
      </w:r>
    </w:p>
    <w:p w14:paraId="25586CB0" w14:textId="77777777" w:rsidR="00AC272E" w:rsidRPr="00AC272E" w:rsidRDefault="00AC272E" w:rsidP="00AC272E"/>
    <w:p w14:paraId="5535B3F7" w14:textId="7260876D" w:rsidR="00AC272E" w:rsidRPr="00AB690C" w:rsidRDefault="00AC272E" w:rsidP="00AB690C">
      <w:pPr>
        <w:spacing w:after="0"/>
        <w:rPr>
          <w:sz w:val="24"/>
          <w:szCs w:val="24"/>
        </w:rPr>
      </w:pPr>
      <w:r w:rsidRPr="009C308D">
        <w:rPr>
          <w:sz w:val="24"/>
          <w:szCs w:val="24"/>
        </w:rPr>
        <w:t>Zakona o izvršavanju kazne zatvora („Narodne novine“, broj: 14/21 i 155/23); Pravilnik o radu i raspolaganju novcem zatvorenika („Narodne novine“, broj: 67/22); Pravilnik o tretmanu zatvorenika („Narodne novine“, broj: 123/21); Zakon o državnim službenicima („Narodne novine“, broj: 155/23 i 85/24);  Kolektivni ugovor za državne službenike i namještenike (Narodne novine“, broj: 56/22, 127/22, 58/23, 128/23 i 29/24</w:t>
      </w:r>
      <w:r>
        <w:rPr>
          <w:sz w:val="24"/>
          <w:szCs w:val="24"/>
        </w:rPr>
        <w:t>)</w:t>
      </w:r>
      <w:r w:rsidRPr="009C308D">
        <w:rPr>
          <w:sz w:val="24"/>
          <w:szCs w:val="24"/>
        </w:rPr>
        <w:t>; Zakon o proračunu („Narodne novine“, broj: 144/21), Pravilnik o proračunskom računovodstvu i računskom planu („Narodne novine“, broj: 158/23).</w:t>
      </w:r>
    </w:p>
    <w:p w14:paraId="2F27CF29" w14:textId="77777777" w:rsidR="008E11DA" w:rsidRPr="00C41928" w:rsidRDefault="008E11DA" w:rsidP="008E11DA">
      <w:pPr>
        <w:spacing w:after="0"/>
        <w:rPr>
          <w:szCs w:val="22"/>
        </w:rPr>
      </w:pPr>
    </w:p>
    <w:tbl>
      <w:tblPr>
        <w:tblStyle w:val="StilTablice"/>
        <w:tblW w:w="9962" w:type="dxa"/>
        <w:jc w:val="center"/>
        <w:tblLook w:val="04A0" w:firstRow="1" w:lastRow="0" w:firstColumn="1" w:lastColumn="0" w:noHBand="0" w:noVBand="1"/>
      </w:tblPr>
      <w:tblGrid>
        <w:gridCol w:w="1419"/>
        <w:gridCol w:w="1503"/>
        <w:gridCol w:w="1472"/>
        <w:gridCol w:w="1504"/>
        <w:gridCol w:w="1504"/>
        <w:gridCol w:w="1504"/>
        <w:gridCol w:w="1056"/>
      </w:tblGrid>
      <w:tr w:rsidR="00245BD6" w:rsidRPr="00C41928" w14:paraId="7DD0AD33" w14:textId="77777777" w:rsidTr="00C41928">
        <w:trPr>
          <w:trHeight w:val="541"/>
          <w:jc w:val="center"/>
        </w:trPr>
        <w:tc>
          <w:tcPr>
            <w:tcW w:w="1425" w:type="dxa"/>
            <w:shd w:val="clear" w:color="auto" w:fill="B5C0D8"/>
          </w:tcPr>
          <w:p w14:paraId="2543132A" w14:textId="77777777" w:rsidR="008E11DA" w:rsidRPr="00C41928" w:rsidRDefault="008E11DA" w:rsidP="002221B2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bookmarkStart w:id="0" w:name="_Hlk177735419"/>
            <w:bookmarkStart w:id="1" w:name="_Hlk135807407"/>
            <w:r w:rsidRPr="00C41928">
              <w:rPr>
                <w:rFonts w:cs="Times New Roman"/>
                <w:sz w:val="22"/>
              </w:rPr>
              <w:t>Aktivnost</w:t>
            </w:r>
          </w:p>
        </w:tc>
        <w:tc>
          <w:tcPr>
            <w:tcW w:w="1507" w:type="dxa"/>
            <w:shd w:val="clear" w:color="auto" w:fill="B5C0D8"/>
            <w:vAlign w:val="top"/>
          </w:tcPr>
          <w:p w14:paraId="1942FFBD" w14:textId="207BA799" w:rsidR="008E11DA" w:rsidRPr="00C41928" w:rsidRDefault="008E11DA" w:rsidP="002221B2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Izvršenje 202</w:t>
            </w:r>
            <w:r w:rsidR="0026760D">
              <w:rPr>
                <w:rFonts w:cs="Times New Roman"/>
                <w:sz w:val="22"/>
              </w:rPr>
              <w:t>4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475" w:type="dxa"/>
            <w:shd w:val="clear" w:color="auto" w:fill="B5C0D8"/>
            <w:vAlign w:val="top"/>
          </w:tcPr>
          <w:p w14:paraId="3A59A218" w14:textId="28302BA1" w:rsidR="008E11DA" w:rsidRPr="00C41928" w:rsidRDefault="008E11DA" w:rsidP="002221B2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Plan 202</w:t>
            </w:r>
            <w:r w:rsidR="0026760D">
              <w:rPr>
                <w:rFonts w:cs="Times New Roman"/>
                <w:sz w:val="22"/>
              </w:rPr>
              <w:t>5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508" w:type="dxa"/>
            <w:shd w:val="clear" w:color="auto" w:fill="B5C0D8"/>
            <w:vAlign w:val="top"/>
          </w:tcPr>
          <w:p w14:paraId="1BAC418C" w14:textId="22699469" w:rsidR="008E11DA" w:rsidRPr="00C41928" w:rsidRDefault="008E11DA" w:rsidP="002221B2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26760D">
              <w:rPr>
                <w:rFonts w:cs="Times New Roman"/>
                <w:b/>
                <w:bCs w:val="0"/>
                <w:sz w:val="22"/>
              </w:rPr>
              <w:t>6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08" w:type="dxa"/>
            <w:shd w:val="clear" w:color="auto" w:fill="B5C0D8"/>
            <w:vAlign w:val="top"/>
          </w:tcPr>
          <w:p w14:paraId="3A5B4EA2" w14:textId="150A13AA" w:rsidR="008E11DA" w:rsidRPr="00C41928" w:rsidRDefault="008E11DA" w:rsidP="002221B2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26760D">
              <w:rPr>
                <w:rFonts w:cs="Times New Roman"/>
                <w:b/>
                <w:bCs w:val="0"/>
                <w:sz w:val="22"/>
              </w:rPr>
              <w:t>7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08" w:type="dxa"/>
            <w:shd w:val="clear" w:color="auto" w:fill="B5C0D8"/>
            <w:vAlign w:val="top"/>
          </w:tcPr>
          <w:p w14:paraId="5BE46E39" w14:textId="4397FEB8" w:rsidR="008E11DA" w:rsidRPr="00C41928" w:rsidRDefault="008E11DA" w:rsidP="002221B2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26760D">
              <w:rPr>
                <w:rFonts w:cs="Times New Roman"/>
                <w:b/>
                <w:bCs w:val="0"/>
                <w:sz w:val="22"/>
              </w:rPr>
              <w:t>8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031" w:type="dxa"/>
            <w:shd w:val="clear" w:color="auto" w:fill="B5C0D8"/>
            <w:vAlign w:val="top"/>
          </w:tcPr>
          <w:p w14:paraId="65656496" w14:textId="6B8D022A" w:rsidR="008E11DA" w:rsidRPr="00C41928" w:rsidRDefault="008E11DA" w:rsidP="002221B2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Indeks 202</w:t>
            </w:r>
            <w:r w:rsidR="0026760D">
              <w:rPr>
                <w:rFonts w:cs="Times New Roman"/>
                <w:sz w:val="22"/>
              </w:rPr>
              <w:t>6</w:t>
            </w:r>
            <w:r w:rsidRPr="00C41928">
              <w:rPr>
                <w:rFonts w:cs="Times New Roman"/>
                <w:sz w:val="22"/>
              </w:rPr>
              <w:t>/202</w:t>
            </w:r>
            <w:r w:rsidR="0026760D">
              <w:rPr>
                <w:rFonts w:cs="Times New Roman"/>
                <w:sz w:val="22"/>
              </w:rPr>
              <w:t>5</w:t>
            </w:r>
          </w:p>
        </w:tc>
      </w:tr>
      <w:bookmarkEnd w:id="0"/>
      <w:tr w:rsidR="00B555F1" w:rsidRPr="00C41928" w14:paraId="24C90181" w14:textId="77777777" w:rsidTr="00C41928">
        <w:trPr>
          <w:trHeight w:val="343"/>
          <w:jc w:val="center"/>
        </w:trPr>
        <w:tc>
          <w:tcPr>
            <w:tcW w:w="1425" w:type="dxa"/>
            <w:vAlign w:val="top"/>
          </w:tcPr>
          <w:p w14:paraId="49916E25" w14:textId="696C0743" w:rsidR="008E11DA" w:rsidRPr="00C41928" w:rsidRDefault="00D27D48" w:rsidP="00127057">
            <w:pPr>
              <w:pStyle w:val="Naslov4"/>
              <w:spacing w:after="0"/>
              <w:jc w:val="center"/>
              <w:rPr>
                <w:sz w:val="22"/>
                <w:szCs w:val="22"/>
              </w:rPr>
            </w:pPr>
            <w:r w:rsidRPr="00C41928">
              <w:rPr>
                <w:b w:val="0"/>
                <w:bCs w:val="0"/>
                <w:i/>
                <w:iCs/>
                <w:sz w:val="22"/>
                <w:szCs w:val="22"/>
              </w:rPr>
              <w:t>A630000</w:t>
            </w:r>
          </w:p>
        </w:tc>
        <w:tc>
          <w:tcPr>
            <w:tcW w:w="1507" w:type="dxa"/>
            <w:vAlign w:val="top"/>
          </w:tcPr>
          <w:p w14:paraId="6B3B5B94" w14:textId="3213485F" w:rsidR="008E11DA" w:rsidRPr="00C41928" w:rsidRDefault="00AC272E" w:rsidP="002221B2">
            <w:pPr>
              <w:spacing w:after="0"/>
              <w:jc w:val="center"/>
              <w:rPr>
                <w:sz w:val="22"/>
                <w:szCs w:val="22"/>
              </w:rPr>
            </w:pPr>
            <w:r w:rsidRPr="00AC272E">
              <w:rPr>
                <w:sz w:val="22"/>
                <w:szCs w:val="22"/>
              </w:rPr>
              <w:t>1.964.531,03</w:t>
            </w:r>
          </w:p>
        </w:tc>
        <w:tc>
          <w:tcPr>
            <w:tcW w:w="1475" w:type="dxa"/>
            <w:vAlign w:val="top"/>
          </w:tcPr>
          <w:p w14:paraId="5F352A4F" w14:textId="6695153D" w:rsidR="008E11DA" w:rsidRPr="00C41928" w:rsidRDefault="00D179C2" w:rsidP="002221B2">
            <w:pPr>
              <w:spacing w:after="0"/>
              <w:jc w:val="center"/>
              <w:rPr>
                <w:sz w:val="22"/>
                <w:szCs w:val="22"/>
              </w:rPr>
            </w:pPr>
            <w:r w:rsidRPr="00D179C2">
              <w:rPr>
                <w:sz w:val="22"/>
                <w:szCs w:val="22"/>
              </w:rPr>
              <w:t>2.068.790,00</w:t>
            </w:r>
          </w:p>
        </w:tc>
        <w:tc>
          <w:tcPr>
            <w:tcW w:w="1508" w:type="dxa"/>
            <w:vAlign w:val="top"/>
          </w:tcPr>
          <w:p w14:paraId="15A5081F" w14:textId="0BCBFF5B" w:rsidR="008E11DA" w:rsidRPr="00C41928" w:rsidRDefault="00AC272E" w:rsidP="002221B2">
            <w:pPr>
              <w:spacing w:after="0"/>
              <w:jc w:val="center"/>
              <w:rPr>
                <w:sz w:val="22"/>
                <w:szCs w:val="22"/>
              </w:rPr>
            </w:pPr>
            <w:r w:rsidRPr="00AC272E">
              <w:rPr>
                <w:sz w:val="22"/>
                <w:szCs w:val="22"/>
              </w:rPr>
              <w:t>2.230.290,00</w:t>
            </w:r>
          </w:p>
        </w:tc>
        <w:tc>
          <w:tcPr>
            <w:tcW w:w="1508" w:type="dxa"/>
            <w:vAlign w:val="top"/>
          </w:tcPr>
          <w:p w14:paraId="7735448E" w14:textId="1559412F" w:rsidR="008E11DA" w:rsidRPr="00C41928" w:rsidRDefault="00AC272E" w:rsidP="002221B2">
            <w:pPr>
              <w:spacing w:after="0"/>
              <w:jc w:val="center"/>
              <w:rPr>
                <w:sz w:val="22"/>
                <w:szCs w:val="22"/>
              </w:rPr>
            </w:pPr>
            <w:r w:rsidRPr="00AC272E">
              <w:rPr>
                <w:sz w:val="22"/>
                <w:szCs w:val="22"/>
              </w:rPr>
              <w:t>2.233.490,00</w:t>
            </w:r>
          </w:p>
        </w:tc>
        <w:tc>
          <w:tcPr>
            <w:tcW w:w="1508" w:type="dxa"/>
            <w:vAlign w:val="top"/>
          </w:tcPr>
          <w:p w14:paraId="5193FDBC" w14:textId="18B419AA" w:rsidR="008E11DA" w:rsidRPr="00C41928" w:rsidRDefault="00AC272E" w:rsidP="002221B2">
            <w:pPr>
              <w:spacing w:after="0"/>
              <w:jc w:val="center"/>
              <w:rPr>
                <w:sz w:val="22"/>
                <w:szCs w:val="22"/>
              </w:rPr>
            </w:pPr>
            <w:r w:rsidRPr="00AC272E">
              <w:rPr>
                <w:sz w:val="22"/>
                <w:szCs w:val="22"/>
              </w:rPr>
              <w:t>2.257.490,00</w:t>
            </w:r>
          </w:p>
        </w:tc>
        <w:tc>
          <w:tcPr>
            <w:tcW w:w="1031" w:type="dxa"/>
            <w:vAlign w:val="top"/>
          </w:tcPr>
          <w:p w14:paraId="357A02C5" w14:textId="29410EA5" w:rsidR="008E11DA" w:rsidRPr="00C41928" w:rsidRDefault="00D179C2" w:rsidP="002221B2">
            <w:pPr>
              <w:spacing w:after="0"/>
              <w:jc w:val="center"/>
              <w:rPr>
                <w:sz w:val="22"/>
                <w:szCs w:val="22"/>
              </w:rPr>
            </w:pPr>
            <w:r w:rsidRPr="00D179C2">
              <w:rPr>
                <w:sz w:val="22"/>
                <w:szCs w:val="22"/>
              </w:rPr>
              <w:t>1,0</w:t>
            </w:r>
            <w:r>
              <w:rPr>
                <w:sz w:val="22"/>
                <w:szCs w:val="22"/>
              </w:rPr>
              <w:t>8</w:t>
            </w:r>
          </w:p>
        </w:tc>
      </w:tr>
      <w:bookmarkEnd w:id="1"/>
    </w:tbl>
    <w:p w14:paraId="4E4B85B5" w14:textId="77777777" w:rsidR="008E11DA" w:rsidRPr="00C41928" w:rsidRDefault="008E11DA" w:rsidP="008E11DA">
      <w:pPr>
        <w:spacing w:after="0"/>
        <w:jc w:val="left"/>
        <w:rPr>
          <w:szCs w:val="22"/>
        </w:rPr>
      </w:pPr>
    </w:p>
    <w:p w14:paraId="68F357E1" w14:textId="77777777" w:rsidR="00AC272E" w:rsidRDefault="00AC272E" w:rsidP="00AC272E">
      <w:pPr>
        <w:spacing w:after="0"/>
        <w:rPr>
          <w:sz w:val="24"/>
          <w:szCs w:val="24"/>
          <w:lang w:val="hr-HR"/>
        </w:rPr>
      </w:pPr>
      <w:r w:rsidRPr="00F964AC">
        <w:rPr>
          <w:sz w:val="24"/>
          <w:szCs w:val="24"/>
          <w:lang w:val="hr-HR"/>
        </w:rPr>
        <w:t>U okviru ove aktivnosti osigurana su sredstva za financiranje rashoda za zaposlene i materijalnih rashoda potrebnih za redovan rad i funkcioniranje zatvorskog sustava</w:t>
      </w:r>
      <w:r>
        <w:rPr>
          <w:sz w:val="24"/>
          <w:szCs w:val="24"/>
          <w:lang w:val="hr-HR"/>
        </w:rPr>
        <w:t>, financijskih rashoda, te rashoda za nabavu dugotrajne imovine.</w:t>
      </w:r>
    </w:p>
    <w:p w14:paraId="3D000502" w14:textId="44CD0102" w:rsidR="00907DE9" w:rsidRDefault="00907DE9" w:rsidP="00D27D48">
      <w:pPr>
        <w:spacing w:after="0"/>
        <w:rPr>
          <w:szCs w:val="22"/>
          <w:lang w:val="hr-HR"/>
        </w:rPr>
      </w:pPr>
    </w:p>
    <w:p w14:paraId="3FBE268A" w14:textId="5F6EA457" w:rsidR="00D179C2" w:rsidRPr="00C57CE7" w:rsidRDefault="00907DE9" w:rsidP="00CC530A">
      <w:pPr>
        <w:spacing w:after="0"/>
        <w:rPr>
          <w:szCs w:val="22"/>
          <w:u w:val="single"/>
          <w:lang w:val="hr-HR"/>
        </w:rPr>
      </w:pPr>
      <w:r w:rsidRPr="00907DE9">
        <w:rPr>
          <w:szCs w:val="22"/>
          <w:u w:val="single"/>
          <w:lang w:val="hr-HR"/>
        </w:rPr>
        <w:t>Izvor 11</w:t>
      </w:r>
    </w:p>
    <w:p w14:paraId="19A9685A" w14:textId="77777777" w:rsidR="00D179C2" w:rsidRDefault="00D179C2" w:rsidP="00CC530A">
      <w:pPr>
        <w:spacing w:after="0"/>
        <w:rPr>
          <w:i/>
          <w:iCs/>
          <w:szCs w:val="22"/>
          <w:lang w:val="hr-HR"/>
        </w:rPr>
      </w:pPr>
    </w:p>
    <w:p w14:paraId="56873A22" w14:textId="6B0FFD20" w:rsidR="00D179C2" w:rsidRPr="00001147" w:rsidRDefault="00D179C2" w:rsidP="00D179C2">
      <w:pPr>
        <w:spacing w:after="0"/>
        <w:rPr>
          <w:sz w:val="24"/>
          <w:szCs w:val="24"/>
          <w:lang w:val="hr-HR"/>
        </w:rPr>
      </w:pPr>
      <w:r w:rsidRPr="00001147">
        <w:rPr>
          <w:b/>
          <w:sz w:val="24"/>
          <w:szCs w:val="24"/>
          <w:lang w:val="hr-HR"/>
        </w:rPr>
        <w:t>31 Rashodi za zaposlene</w:t>
      </w:r>
      <w:r w:rsidRPr="00001147">
        <w:rPr>
          <w:sz w:val="24"/>
          <w:szCs w:val="24"/>
          <w:lang w:val="hr-HR"/>
        </w:rPr>
        <w:t xml:space="preserve"> – U 202</w:t>
      </w:r>
      <w:r>
        <w:rPr>
          <w:sz w:val="24"/>
          <w:szCs w:val="24"/>
          <w:lang w:val="hr-HR"/>
        </w:rPr>
        <w:t>6</w:t>
      </w:r>
      <w:r w:rsidRPr="00001147">
        <w:rPr>
          <w:sz w:val="24"/>
          <w:szCs w:val="24"/>
          <w:lang w:val="hr-HR"/>
        </w:rPr>
        <w:t xml:space="preserve">. godini planirana su sredstva za rashode za zaposlene u iznosu od </w:t>
      </w:r>
      <w:r w:rsidR="00AC54DD" w:rsidRPr="00AC54DD">
        <w:rPr>
          <w:sz w:val="24"/>
          <w:szCs w:val="24"/>
          <w:lang w:val="hr-HR"/>
        </w:rPr>
        <w:t>1.964.600,00</w:t>
      </w:r>
      <w:r w:rsidRPr="00001147">
        <w:rPr>
          <w:sz w:val="24"/>
          <w:szCs w:val="24"/>
          <w:lang w:val="hr-HR"/>
        </w:rPr>
        <w:t xml:space="preserve"> € za 4</w:t>
      </w:r>
      <w:r w:rsidR="00AC54DD">
        <w:rPr>
          <w:sz w:val="24"/>
          <w:szCs w:val="24"/>
          <w:lang w:val="hr-HR"/>
        </w:rPr>
        <w:t>6</w:t>
      </w:r>
      <w:r w:rsidRPr="00001147">
        <w:rPr>
          <w:sz w:val="24"/>
          <w:szCs w:val="24"/>
          <w:lang w:val="hr-HR"/>
        </w:rPr>
        <w:t xml:space="preserve"> državna službenika. Postupak izrade obračuna plaće za redovan rad i doprinose radi utvrđivanja planiranoga iznosa izvršen je na način da je iznos potrebnih sredstava za isplatu plaće za mjesec lipanj 202</w:t>
      </w:r>
      <w:r w:rsidR="00AC54DD">
        <w:rPr>
          <w:sz w:val="24"/>
          <w:szCs w:val="24"/>
          <w:lang w:val="hr-HR"/>
        </w:rPr>
        <w:t>5</w:t>
      </w:r>
      <w:r w:rsidRPr="00001147">
        <w:rPr>
          <w:sz w:val="24"/>
          <w:szCs w:val="24"/>
          <w:lang w:val="hr-HR"/>
        </w:rPr>
        <w:t>. godine za 4</w:t>
      </w:r>
      <w:r w:rsidR="00AC54DD">
        <w:rPr>
          <w:sz w:val="24"/>
          <w:szCs w:val="24"/>
          <w:lang w:val="hr-HR"/>
        </w:rPr>
        <w:t>4</w:t>
      </w:r>
      <w:r w:rsidRPr="00001147">
        <w:rPr>
          <w:sz w:val="24"/>
          <w:szCs w:val="24"/>
          <w:lang w:val="hr-HR"/>
        </w:rPr>
        <w:t xml:space="preserve"> državna službenika. Planirani veći iznos rashoda za zaposlene za 202</w:t>
      </w:r>
      <w:r w:rsidR="00AC54DD">
        <w:rPr>
          <w:sz w:val="24"/>
          <w:szCs w:val="24"/>
          <w:lang w:val="hr-HR"/>
        </w:rPr>
        <w:t>6</w:t>
      </w:r>
      <w:r w:rsidRPr="00001147">
        <w:rPr>
          <w:sz w:val="24"/>
          <w:szCs w:val="24"/>
          <w:lang w:val="hr-HR"/>
        </w:rPr>
        <w:t>. godinu u odnosu na 202</w:t>
      </w:r>
      <w:r w:rsidR="00AC54DD">
        <w:rPr>
          <w:sz w:val="24"/>
          <w:szCs w:val="24"/>
          <w:lang w:val="hr-HR"/>
        </w:rPr>
        <w:t>5</w:t>
      </w:r>
      <w:r w:rsidRPr="00001147">
        <w:rPr>
          <w:sz w:val="24"/>
          <w:szCs w:val="24"/>
          <w:lang w:val="hr-HR"/>
        </w:rPr>
        <w:t>. godinu temelji se na povećanju osnovice za obračun plaće, povećanje s osnove minulog rada za 0,5% za svaku godinu navršetka radnog staža</w:t>
      </w:r>
      <w:r w:rsidR="00AC54DD">
        <w:rPr>
          <w:sz w:val="24"/>
          <w:szCs w:val="24"/>
          <w:lang w:val="hr-HR"/>
        </w:rPr>
        <w:t xml:space="preserve"> te za zapošljavanje 2 nove službenice</w:t>
      </w:r>
      <w:r w:rsidR="0046585B">
        <w:rPr>
          <w:sz w:val="24"/>
          <w:szCs w:val="24"/>
          <w:lang w:val="hr-HR"/>
        </w:rPr>
        <w:t>, jedna</w:t>
      </w:r>
      <w:r w:rsidR="00AC54DD">
        <w:rPr>
          <w:sz w:val="24"/>
          <w:szCs w:val="24"/>
          <w:lang w:val="hr-HR"/>
        </w:rPr>
        <w:t xml:space="preserve"> u Odjelu tretmana i </w:t>
      </w:r>
      <w:r w:rsidR="0046585B">
        <w:rPr>
          <w:sz w:val="24"/>
          <w:szCs w:val="24"/>
          <w:lang w:val="hr-HR"/>
        </w:rPr>
        <w:t xml:space="preserve">jedna </w:t>
      </w:r>
      <w:r w:rsidR="00AC54DD">
        <w:rPr>
          <w:sz w:val="24"/>
          <w:szCs w:val="24"/>
          <w:lang w:val="hr-HR"/>
        </w:rPr>
        <w:t>u Pododsjeku financijsko-knjigovodstvenih poslova</w:t>
      </w:r>
      <w:r w:rsidRPr="00001147">
        <w:rPr>
          <w:sz w:val="24"/>
          <w:szCs w:val="24"/>
          <w:lang w:val="hr-HR"/>
        </w:rPr>
        <w:t xml:space="preserve">. Plaće za prekovremeni rad temelje se na prethodnom izračunu prijašnjih godina jer Zatvor u Karlovcu ima problem nedostatka službenika u Odjelu osiguranja, točnije pravosudnih policajaca zbog dugotrajnih bolovanja službenika te </w:t>
      </w:r>
      <w:r w:rsidRPr="00C57CE7">
        <w:rPr>
          <w:sz w:val="24"/>
          <w:szCs w:val="24"/>
          <w:lang w:val="hr-HR"/>
        </w:rPr>
        <w:t xml:space="preserve">odlaska u mirovinu, a radna mjesta nisu popunjena što otežava rad kaznenog tijela. </w:t>
      </w:r>
      <w:r w:rsidRPr="00C57CE7">
        <w:rPr>
          <w:sz w:val="24"/>
          <w:szCs w:val="24"/>
          <w:lang w:val="hr-HR"/>
        </w:rPr>
        <w:lastRenderedPageBreak/>
        <w:t>Ostali rashodi planirani su također na osnovi broja od 4</w:t>
      </w:r>
      <w:r w:rsidR="0046585B" w:rsidRPr="00C57CE7">
        <w:rPr>
          <w:sz w:val="24"/>
          <w:szCs w:val="24"/>
          <w:lang w:val="hr-HR"/>
        </w:rPr>
        <w:t>6</w:t>
      </w:r>
      <w:r w:rsidRPr="00C57CE7">
        <w:rPr>
          <w:sz w:val="24"/>
          <w:szCs w:val="24"/>
          <w:lang w:val="hr-HR"/>
        </w:rPr>
        <w:t xml:space="preserve"> službenika te obuhvaćaju regres za godišnji odmor u okvirnom iznosu od 1</w:t>
      </w:r>
      <w:r w:rsidR="0046585B" w:rsidRPr="00C57CE7">
        <w:rPr>
          <w:sz w:val="24"/>
          <w:szCs w:val="24"/>
          <w:lang w:val="hr-HR"/>
        </w:rPr>
        <w:t>3</w:t>
      </w:r>
      <w:r w:rsidRPr="00C57CE7">
        <w:rPr>
          <w:sz w:val="24"/>
          <w:szCs w:val="24"/>
          <w:lang w:val="hr-HR"/>
        </w:rPr>
        <w:t>.</w:t>
      </w:r>
      <w:r w:rsidR="0046585B" w:rsidRPr="00C57CE7">
        <w:rPr>
          <w:sz w:val="24"/>
          <w:szCs w:val="24"/>
          <w:lang w:val="hr-HR"/>
        </w:rPr>
        <w:t>8</w:t>
      </w:r>
      <w:r w:rsidRPr="00C57CE7">
        <w:rPr>
          <w:sz w:val="24"/>
          <w:szCs w:val="24"/>
          <w:lang w:val="hr-HR"/>
        </w:rPr>
        <w:t>00,00 €, božićnice u okvirnom iznosu od 1</w:t>
      </w:r>
      <w:r w:rsidR="0046585B" w:rsidRPr="00C57CE7">
        <w:rPr>
          <w:sz w:val="24"/>
          <w:szCs w:val="24"/>
          <w:lang w:val="hr-HR"/>
        </w:rPr>
        <w:t>3</w:t>
      </w:r>
      <w:r w:rsidRPr="00C57CE7">
        <w:rPr>
          <w:sz w:val="24"/>
          <w:szCs w:val="24"/>
          <w:lang w:val="hr-HR"/>
        </w:rPr>
        <w:t>.</w:t>
      </w:r>
      <w:r w:rsidR="0046585B" w:rsidRPr="00C57CE7">
        <w:rPr>
          <w:sz w:val="24"/>
          <w:szCs w:val="24"/>
          <w:lang w:val="hr-HR"/>
        </w:rPr>
        <w:t>8</w:t>
      </w:r>
      <w:r w:rsidRPr="00C57CE7">
        <w:rPr>
          <w:sz w:val="24"/>
          <w:szCs w:val="24"/>
          <w:lang w:val="hr-HR"/>
        </w:rPr>
        <w:t>00,00 €, uskrsnice u okvirnom iznosu od 4.</w:t>
      </w:r>
      <w:r w:rsidR="0046585B" w:rsidRPr="00C57CE7">
        <w:rPr>
          <w:sz w:val="24"/>
          <w:szCs w:val="24"/>
          <w:lang w:val="hr-HR"/>
        </w:rPr>
        <w:t>6</w:t>
      </w:r>
      <w:r w:rsidRPr="00C57CE7">
        <w:rPr>
          <w:sz w:val="24"/>
          <w:szCs w:val="24"/>
          <w:lang w:val="hr-HR"/>
        </w:rPr>
        <w:t xml:space="preserve">00,00 €, dar za djecu za okvirni broj od dvadesettroje djece u iznosu od 2.300,00 €, otpremnine za </w:t>
      </w:r>
      <w:r w:rsidR="00C57CE7" w:rsidRPr="00C57CE7">
        <w:rPr>
          <w:sz w:val="24"/>
          <w:szCs w:val="24"/>
          <w:lang w:val="hr-HR"/>
        </w:rPr>
        <w:t>dvoje</w:t>
      </w:r>
      <w:r w:rsidRPr="00C57CE7">
        <w:rPr>
          <w:sz w:val="24"/>
          <w:szCs w:val="24"/>
          <w:lang w:val="hr-HR"/>
        </w:rPr>
        <w:t xml:space="preserve"> službenika koji planira</w:t>
      </w:r>
      <w:r w:rsidR="00C57CE7" w:rsidRPr="00C57CE7">
        <w:rPr>
          <w:sz w:val="24"/>
          <w:szCs w:val="24"/>
          <w:lang w:val="hr-HR"/>
        </w:rPr>
        <w:t>ju</w:t>
      </w:r>
      <w:r w:rsidRPr="00C57CE7">
        <w:rPr>
          <w:sz w:val="24"/>
          <w:szCs w:val="24"/>
          <w:lang w:val="hr-HR"/>
        </w:rPr>
        <w:t xml:space="preserve"> podnijeti zahtjev za odlazak u mirovinu u okvirnom iznosu od </w:t>
      </w:r>
      <w:r w:rsidR="00C57CE7" w:rsidRPr="00C57CE7">
        <w:rPr>
          <w:sz w:val="24"/>
          <w:szCs w:val="24"/>
          <w:lang w:val="hr-HR"/>
        </w:rPr>
        <w:t>34</w:t>
      </w:r>
      <w:r w:rsidRPr="00C57CE7">
        <w:rPr>
          <w:sz w:val="24"/>
          <w:szCs w:val="24"/>
          <w:lang w:val="hr-HR"/>
        </w:rPr>
        <w:t xml:space="preserve">.000,00 €, </w:t>
      </w:r>
      <w:r w:rsidR="002B53CD" w:rsidRPr="00C57CE7">
        <w:rPr>
          <w:sz w:val="24"/>
          <w:szCs w:val="24"/>
          <w:lang w:val="hr-HR"/>
        </w:rPr>
        <w:t>9.</w:t>
      </w:r>
      <w:r w:rsidR="00C57CE7" w:rsidRPr="00C57CE7">
        <w:rPr>
          <w:sz w:val="24"/>
          <w:szCs w:val="24"/>
          <w:lang w:val="hr-HR"/>
        </w:rPr>
        <w:t>8</w:t>
      </w:r>
      <w:r w:rsidR="002B53CD" w:rsidRPr="00C57CE7">
        <w:rPr>
          <w:sz w:val="24"/>
          <w:szCs w:val="24"/>
          <w:lang w:val="hr-HR"/>
        </w:rPr>
        <w:t>00,00</w:t>
      </w:r>
      <w:r w:rsidR="002B53CD" w:rsidRPr="00C57CE7">
        <w:rPr>
          <w:sz w:val="24"/>
          <w:szCs w:val="24"/>
          <w:lang w:val="hr-HR"/>
        </w:rPr>
        <w:t xml:space="preserve">‬ € za jubilarne nagrade za 18 službenika </w:t>
      </w:r>
      <w:r w:rsidRPr="00C57CE7">
        <w:rPr>
          <w:sz w:val="24"/>
          <w:szCs w:val="24"/>
          <w:lang w:val="hr-HR"/>
        </w:rPr>
        <w:t xml:space="preserve">te ukupan iznos od </w:t>
      </w:r>
      <w:r w:rsidR="00C57CE7" w:rsidRPr="00C57CE7">
        <w:rPr>
          <w:sz w:val="24"/>
          <w:szCs w:val="24"/>
          <w:lang w:val="hr-HR"/>
        </w:rPr>
        <w:t>2</w:t>
      </w:r>
      <w:r w:rsidRPr="00C57CE7">
        <w:rPr>
          <w:sz w:val="24"/>
          <w:szCs w:val="24"/>
          <w:lang w:val="hr-HR"/>
        </w:rPr>
        <w:t>.</w:t>
      </w:r>
      <w:r w:rsidR="00C57CE7" w:rsidRPr="00C57CE7">
        <w:rPr>
          <w:sz w:val="24"/>
          <w:szCs w:val="24"/>
          <w:lang w:val="hr-HR"/>
        </w:rPr>
        <w:t>3</w:t>
      </w:r>
      <w:r w:rsidRPr="00C57CE7">
        <w:rPr>
          <w:sz w:val="24"/>
          <w:szCs w:val="24"/>
          <w:lang w:val="hr-HR"/>
        </w:rPr>
        <w:t>00,00 € procijenjen kao iznos potreban za isplatu ostalih prava zaposlenih temeljem kolektivnoga ugovora što podrazumijeva pomoći za bolovanje i smrt članova obitelji.</w:t>
      </w:r>
    </w:p>
    <w:p w14:paraId="1CCE1C3F" w14:textId="77777777" w:rsidR="00D179C2" w:rsidRPr="00001147" w:rsidRDefault="00D179C2" w:rsidP="00D179C2">
      <w:pPr>
        <w:spacing w:after="0"/>
        <w:rPr>
          <w:sz w:val="24"/>
          <w:szCs w:val="24"/>
          <w:lang w:val="hr-HR"/>
        </w:rPr>
      </w:pPr>
    </w:p>
    <w:p w14:paraId="2A1E53F6" w14:textId="4D31EBD2" w:rsidR="00D179C2" w:rsidRPr="00001147" w:rsidRDefault="00D179C2" w:rsidP="00D179C2">
      <w:pPr>
        <w:rPr>
          <w:sz w:val="24"/>
          <w:szCs w:val="24"/>
        </w:rPr>
      </w:pPr>
      <w:r w:rsidRPr="00001147">
        <w:rPr>
          <w:sz w:val="24"/>
          <w:szCs w:val="24"/>
        </w:rPr>
        <w:t>U Financijskom planu za 202</w:t>
      </w:r>
      <w:r w:rsidR="00C57CE7">
        <w:rPr>
          <w:sz w:val="24"/>
          <w:szCs w:val="24"/>
        </w:rPr>
        <w:t>7</w:t>
      </w:r>
      <w:r w:rsidRPr="00001147">
        <w:rPr>
          <w:sz w:val="24"/>
          <w:szCs w:val="24"/>
        </w:rPr>
        <w:t xml:space="preserve">. godinu planirani iznosi plaće za redovan rad, doprinose i prekovremeni rad u iznosu od  </w:t>
      </w:r>
      <w:r w:rsidR="00C57CE7" w:rsidRPr="00C57CE7">
        <w:rPr>
          <w:sz w:val="24"/>
          <w:szCs w:val="24"/>
        </w:rPr>
        <w:t>1.969.000,00</w:t>
      </w:r>
      <w:r w:rsidR="00C57CE7">
        <w:rPr>
          <w:sz w:val="24"/>
          <w:szCs w:val="24"/>
        </w:rPr>
        <w:t xml:space="preserve"> </w:t>
      </w:r>
      <w:r w:rsidRPr="00001147">
        <w:rPr>
          <w:sz w:val="24"/>
          <w:szCs w:val="24"/>
        </w:rPr>
        <w:t>€ utvrđen je na način da je planirani iznos iz 202</w:t>
      </w:r>
      <w:r w:rsidR="00C57CE7">
        <w:rPr>
          <w:sz w:val="24"/>
          <w:szCs w:val="24"/>
        </w:rPr>
        <w:t>6</w:t>
      </w:r>
      <w:r w:rsidRPr="00001147">
        <w:rPr>
          <w:sz w:val="24"/>
          <w:szCs w:val="24"/>
        </w:rPr>
        <w:t>. godine uvećan okvirno za 0,5% s osnove minuloga rada, dok su iznosi Financijskog plana za 202</w:t>
      </w:r>
      <w:r w:rsidR="00C57CE7">
        <w:rPr>
          <w:sz w:val="24"/>
          <w:szCs w:val="24"/>
        </w:rPr>
        <w:t>8</w:t>
      </w:r>
      <w:r w:rsidRPr="00001147">
        <w:rPr>
          <w:sz w:val="24"/>
          <w:szCs w:val="24"/>
        </w:rPr>
        <w:t xml:space="preserve">. godinu od </w:t>
      </w:r>
      <w:r w:rsidR="00C57CE7" w:rsidRPr="00C57CE7">
        <w:rPr>
          <w:sz w:val="24"/>
          <w:szCs w:val="24"/>
        </w:rPr>
        <w:t>1.996.000,00</w:t>
      </w:r>
      <w:r w:rsidRPr="00001147">
        <w:rPr>
          <w:sz w:val="24"/>
          <w:szCs w:val="24"/>
        </w:rPr>
        <w:t xml:space="preserve"> € utvrđeni kao povećanje za 0,5% minulog rada u odnosu na plan za 202</w:t>
      </w:r>
      <w:r w:rsidR="00C57CE7">
        <w:rPr>
          <w:sz w:val="24"/>
          <w:szCs w:val="24"/>
        </w:rPr>
        <w:t>7</w:t>
      </w:r>
      <w:r w:rsidRPr="00001147">
        <w:rPr>
          <w:sz w:val="24"/>
          <w:szCs w:val="24"/>
        </w:rPr>
        <w:t>. godinu za 4</w:t>
      </w:r>
      <w:r w:rsidR="00C57CE7">
        <w:rPr>
          <w:sz w:val="24"/>
          <w:szCs w:val="24"/>
        </w:rPr>
        <w:t>6</w:t>
      </w:r>
      <w:r w:rsidRPr="00001147">
        <w:rPr>
          <w:sz w:val="24"/>
          <w:szCs w:val="24"/>
        </w:rPr>
        <w:t xml:space="preserve"> državna službenika. Ostali rashodi za zaposlene u 202</w:t>
      </w:r>
      <w:r w:rsidR="00C57CE7">
        <w:rPr>
          <w:sz w:val="24"/>
          <w:szCs w:val="24"/>
        </w:rPr>
        <w:t>7</w:t>
      </w:r>
      <w:r w:rsidRPr="00001147">
        <w:rPr>
          <w:sz w:val="24"/>
          <w:szCs w:val="24"/>
        </w:rPr>
        <w:t>. godini kao i za 202</w:t>
      </w:r>
      <w:r w:rsidR="00C57CE7">
        <w:rPr>
          <w:sz w:val="24"/>
          <w:szCs w:val="24"/>
        </w:rPr>
        <w:t>8</w:t>
      </w:r>
      <w:r w:rsidRPr="00001147">
        <w:rPr>
          <w:sz w:val="24"/>
          <w:szCs w:val="24"/>
        </w:rPr>
        <w:t>. godinu koji uključuju regres</w:t>
      </w:r>
      <w:r>
        <w:rPr>
          <w:sz w:val="24"/>
          <w:szCs w:val="24"/>
        </w:rPr>
        <w:t>,</w:t>
      </w:r>
      <w:r w:rsidRPr="00001147">
        <w:rPr>
          <w:sz w:val="24"/>
          <w:szCs w:val="24"/>
        </w:rPr>
        <w:t xml:space="preserve"> božićnicu, uskrsnicu, dar za djecu, otpremnine, jubilarne i pomoći planirani su na istoj razni broja izvršitelja i prava iz kolektivnoga ugovora kao i za 202</w:t>
      </w:r>
      <w:r w:rsidR="00C57CE7">
        <w:rPr>
          <w:sz w:val="24"/>
          <w:szCs w:val="24"/>
        </w:rPr>
        <w:t>6</w:t>
      </w:r>
      <w:r w:rsidRPr="00001147">
        <w:rPr>
          <w:sz w:val="24"/>
          <w:szCs w:val="24"/>
        </w:rPr>
        <w:t>. godinu, te za 202</w:t>
      </w:r>
      <w:r w:rsidR="00C57CE7">
        <w:rPr>
          <w:sz w:val="24"/>
          <w:szCs w:val="24"/>
        </w:rPr>
        <w:t>7</w:t>
      </w:r>
      <w:r w:rsidRPr="00001147">
        <w:rPr>
          <w:sz w:val="24"/>
          <w:szCs w:val="24"/>
        </w:rPr>
        <w:t xml:space="preserve">. godinu iznose </w:t>
      </w:r>
      <w:r w:rsidR="00C57CE7" w:rsidRPr="00C57CE7">
        <w:rPr>
          <w:sz w:val="24"/>
          <w:szCs w:val="24"/>
        </w:rPr>
        <w:t>74.000,00</w:t>
      </w:r>
      <w:r w:rsidR="00C57CE7">
        <w:rPr>
          <w:sz w:val="24"/>
          <w:szCs w:val="24"/>
        </w:rPr>
        <w:t xml:space="preserve"> </w:t>
      </w:r>
      <w:r w:rsidRPr="00001147">
        <w:rPr>
          <w:sz w:val="24"/>
          <w:szCs w:val="24"/>
        </w:rPr>
        <w:t>€, a za 202</w:t>
      </w:r>
      <w:r w:rsidR="00C57CE7">
        <w:rPr>
          <w:sz w:val="24"/>
          <w:szCs w:val="24"/>
        </w:rPr>
        <w:t>8</w:t>
      </w:r>
      <w:r w:rsidRPr="00001147">
        <w:rPr>
          <w:sz w:val="24"/>
          <w:szCs w:val="24"/>
        </w:rPr>
        <w:t xml:space="preserve">. godinu </w:t>
      </w:r>
      <w:r w:rsidR="00C57CE7" w:rsidRPr="00C57CE7">
        <w:rPr>
          <w:sz w:val="24"/>
          <w:szCs w:val="24"/>
        </w:rPr>
        <w:t>59.000,00</w:t>
      </w:r>
      <w:r w:rsidR="00C57CE7">
        <w:rPr>
          <w:sz w:val="24"/>
          <w:szCs w:val="24"/>
        </w:rPr>
        <w:t xml:space="preserve"> </w:t>
      </w:r>
      <w:r w:rsidRPr="00001147">
        <w:rPr>
          <w:sz w:val="24"/>
          <w:szCs w:val="24"/>
        </w:rPr>
        <w:t>€.</w:t>
      </w:r>
    </w:p>
    <w:p w14:paraId="4834E709" w14:textId="77777777" w:rsidR="00C57CE7" w:rsidRDefault="00C57CE7" w:rsidP="00A92045">
      <w:pPr>
        <w:spacing w:after="0"/>
        <w:rPr>
          <w:i/>
          <w:iCs/>
          <w:szCs w:val="22"/>
          <w:lang w:val="hr-HR"/>
        </w:rPr>
      </w:pPr>
    </w:p>
    <w:p w14:paraId="5D22A974" w14:textId="119D6266" w:rsidR="00C57CE7" w:rsidRPr="00001147" w:rsidRDefault="00C57CE7" w:rsidP="00C57CE7">
      <w:pPr>
        <w:spacing w:after="0"/>
        <w:rPr>
          <w:sz w:val="24"/>
          <w:szCs w:val="24"/>
          <w:lang w:val="hr-HR"/>
        </w:rPr>
      </w:pPr>
      <w:r w:rsidRPr="00001147">
        <w:rPr>
          <w:b/>
          <w:sz w:val="24"/>
          <w:szCs w:val="24"/>
          <w:lang w:val="hr-HR"/>
        </w:rPr>
        <w:t>32 Materijalni rashodi</w:t>
      </w:r>
      <w:r w:rsidRPr="00001147">
        <w:rPr>
          <w:sz w:val="24"/>
          <w:szCs w:val="24"/>
          <w:lang w:val="hr-HR"/>
        </w:rPr>
        <w:t xml:space="preserve">  - Materijalni rashodi planiraju se u iznosu od </w:t>
      </w:r>
      <w:r w:rsidR="001551F6" w:rsidRPr="001551F6">
        <w:rPr>
          <w:sz w:val="24"/>
          <w:szCs w:val="24"/>
          <w:lang w:val="hr-HR"/>
        </w:rPr>
        <w:t>262.600,00</w:t>
      </w:r>
      <w:r w:rsidRPr="00001147">
        <w:rPr>
          <w:sz w:val="24"/>
          <w:szCs w:val="24"/>
          <w:lang w:val="hr-HR"/>
        </w:rPr>
        <w:t xml:space="preserve"> € za 202</w:t>
      </w:r>
      <w:r w:rsidR="001551F6">
        <w:rPr>
          <w:sz w:val="24"/>
          <w:szCs w:val="24"/>
          <w:lang w:val="hr-HR"/>
        </w:rPr>
        <w:t>6</w:t>
      </w:r>
      <w:r w:rsidRPr="00001147">
        <w:rPr>
          <w:sz w:val="24"/>
          <w:szCs w:val="24"/>
          <w:lang w:val="hr-HR"/>
        </w:rPr>
        <w:t xml:space="preserve">. godinu. Uključuju naknade troškova zaposlenima za prijevoz i terenski dodatak, te službena putovanja i seminare, zatim rashode za materijal i energiju, rashode za usluge, </w:t>
      </w:r>
      <w:r w:rsidR="001551F6" w:rsidRPr="001551F6">
        <w:rPr>
          <w:sz w:val="24"/>
          <w:szCs w:val="24"/>
          <w:lang w:val="hr-HR"/>
        </w:rPr>
        <w:t xml:space="preserve">sistematski pregledi zaposlenika </w:t>
      </w:r>
      <w:r w:rsidR="001551F6">
        <w:rPr>
          <w:sz w:val="24"/>
          <w:szCs w:val="24"/>
          <w:lang w:val="hr-HR"/>
        </w:rPr>
        <w:t xml:space="preserve">za 46 službenika sukladno Kolektivnom ugovoru, </w:t>
      </w:r>
      <w:r w:rsidRPr="00001147">
        <w:rPr>
          <w:sz w:val="24"/>
          <w:szCs w:val="24"/>
          <w:lang w:val="hr-HR"/>
        </w:rPr>
        <w:t>te ostale nespomenute rashode poslovanja. Sredstva su namijenjena za pokriće tekućih izdataka: energije (lož ulja i električne energije), telefona, komunalnih usluga, materijala i sirovine (namirnice za prehranu 80 zatvorenika). Planirana sredstva za materijalne rashode namijenjena su za smještaj zatvorenika koji uključuje osiguranje</w:t>
      </w:r>
      <w:r w:rsidR="001551F6">
        <w:rPr>
          <w:sz w:val="24"/>
          <w:szCs w:val="24"/>
          <w:lang w:val="hr-HR"/>
        </w:rPr>
        <w:t xml:space="preserve"> </w:t>
      </w:r>
      <w:r w:rsidRPr="00001147">
        <w:rPr>
          <w:sz w:val="24"/>
          <w:szCs w:val="24"/>
          <w:lang w:val="hr-HR"/>
        </w:rPr>
        <w:t>odgovarajućih pripremljenih i posluženih obroka, materijal za propisano održavanje i čišćenje prostorija u kojima borave zatvorenici, materijal za održavanje osobne higijene zatvorenika osiguranjem pitke vode, toaletnoga papira i drugih higijenskih potrepština koja se sada nabavljaju na razini kaznenih tijela,  sredstva za osiguranje čistoće rublja, odjeće, obuće i posteljine. Zatvorenicima se osigurava posteljina i ručnici, rublje i odjeća ako je to potrebno, liječenje kroz mjere i aktivnosti zdravstvene zaštite kvalitetom i opsegom određenim u javnom zdravstvu za osigurane osobe iz obveznoga zdravstvenoga osiguranja, a onima koji nemaju osiguranje isto se osigurava na teret sredstava osiguranih u okviru ove pozicije. Osobe na izdržavanju kazne zatvora se potiču na rad i omogućuje im se rad u zatvoru ili izvan zatvora i za navedeno se zatvorenicima isplaćuje naknada. Za uredno funkcioniranje zatvora nabavlja se uredski materijal i drugi potreban materijal. Očekivani okvirni broj osoba na izdržavanju kazne zatvora u 202</w:t>
      </w:r>
      <w:r w:rsidR="001551F6">
        <w:rPr>
          <w:sz w:val="24"/>
          <w:szCs w:val="24"/>
          <w:lang w:val="hr-HR"/>
        </w:rPr>
        <w:t>6</w:t>
      </w:r>
      <w:r w:rsidRPr="00001147">
        <w:rPr>
          <w:sz w:val="24"/>
          <w:szCs w:val="24"/>
          <w:lang w:val="hr-HR"/>
        </w:rPr>
        <w:t xml:space="preserve">. godini je prosječno 80 osoba što je </w:t>
      </w:r>
      <w:r w:rsidR="001551F6">
        <w:rPr>
          <w:sz w:val="24"/>
          <w:szCs w:val="24"/>
          <w:lang w:val="hr-HR"/>
        </w:rPr>
        <w:t xml:space="preserve">na istoj razini kao i 2025. godine. </w:t>
      </w:r>
      <w:r w:rsidRPr="00001147">
        <w:rPr>
          <w:sz w:val="24"/>
          <w:szCs w:val="24"/>
          <w:lang w:val="hr-HR"/>
        </w:rPr>
        <w:t>Kako u okviru ovih rashoda najznačajniji iznosi se bilježe na pozicijama nabave hrane i energije  rizici rasta ovih troškova su i dalje veliki te zbog plaćanja troškova liječenja u bolnici za zatvorenike koje nisu hrvatski državljani te nemaju zdravstveno osiguranje, a koji su najviše zastupljeni u Zatvoru u Karlovcu.</w:t>
      </w:r>
    </w:p>
    <w:p w14:paraId="15CBAEC5" w14:textId="77777777" w:rsidR="00C57CE7" w:rsidRPr="00001147" w:rsidRDefault="00C57CE7" w:rsidP="00C57CE7">
      <w:pPr>
        <w:spacing w:after="0"/>
        <w:rPr>
          <w:sz w:val="24"/>
          <w:szCs w:val="24"/>
          <w:lang w:val="hr-HR"/>
        </w:rPr>
      </w:pPr>
    </w:p>
    <w:p w14:paraId="4B0D42BC" w14:textId="662C4125" w:rsidR="001551F6" w:rsidRDefault="00C57CE7" w:rsidP="00C57CE7">
      <w:pPr>
        <w:spacing w:after="0"/>
        <w:rPr>
          <w:sz w:val="24"/>
          <w:szCs w:val="24"/>
          <w:lang w:val="hr-HR"/>
        </w:rPr>
      </w:pPr>
      <w:r w:rsidRPr="00001147">
        <w:rPr>
          <w:sz w:val="24"/>
          <w:szCs w:val="24"/>
          <w:lang w:val="hr-HR"/>
        </w:rPr>
        <w:t>U Financijskom planu za 202</w:t>
      </w:r>
      <w:r w:rsidR="001551F6">
        <w:rPr>
          <w:sz w:val="24"/>
          <w:szCs w:val="24"/>
          <w:lang w:val="hr-HR"/>
        </w:rPr>
        <w:t>7</w:t>
      </w:r>
      <w:r w:rsidRPr="00001147">
        <w:rPr>
          <w:sz w:val="24"/>
          <w:szCs w:val="24"/>
          <w:lang w:val="hr-HR"/>
        </w:rPr>
        <w:t xml:space="preserve">. godinu planirani iznosi materijalnih rashoda u iznosu od </w:t>
      </w:r>
      <w:r w:rsidR="001551F6" w:rsidRPr="001551F6">
        <w:rPr>
          <w:sz w:val="24"/>
          <w:szCs w:val="24"/>
          <w:lang w:val="hr-HR"/>
        </w:rPr>
        <w:t>261.400,00</w:t>
      </w:r>
      <w:r w:rsidRPr="00001147">
        <w:rPr>
          <w:sz w:val="24"/>
          <w:szCs w:val="24"/>
          <w:lang w:val="hr-HR"/>
        </w:rPr>
        <w:t xml:space="preserve"> € na temelju planiranih sredstava za 202</w:t>
      </w:r>
      <w:r w:rsidR="001551F6">
        <w:rPr>
          <w:sz w:val="24"/>
          <w:szCs w:val="24"/>
          <w:lang w:val="hr-HR"/>
        </w:rPr>
        <w:t>6</w:t>
      </w:r>
      <w:r w:rsidRPr="00001147">
        <w:rPr>
          <w:sz w:val="24"/>
          <w:szCs w:val="24"/>
          <w:lang w:val="hr-HR"/>
        </w:rPr>
        <w:t>. godinu. Također, u skladu sa dostavljenim limitima, u Financijskom planu za 202</w:t>
      </w:r>
      <w:r w:rsidR="001551F6">
        <w:rPr>
          <w:sz w:val="24"/>
          <w:szCs w:val="24"/>
          <w:lang w:val="hr-HR"/>
        </w:rPr>
        <w:t>8</w:t>
      </w:r>
      <w:r w:rsidRPr="00001147">
        <w:rPr>
          <w:sz w:val="24"/>
          <w:szCs w:val="24"/>
          <w:lang w:val="hr-HR"/>
        </w:rPr>
        <w:t xml:space="preserve">. godinu napravljena je procjena materijalnih rashoda u iznosu od </w:t>
      </w:r>
      <w:r w:rsidR="001551F6" w:rsidRPr="001551F6">
        <w:rPr>
          <w:sz w:val="24"/>
          <w:szCs w:val="24"/>
          <w:lang w:val="hr-HR"/>
        </w:rPr>
        <w:t xml:space="preserve">259.400,00 </w:t>
      </w:r>
      <w:r w:rsidRPr="00001147">
        <w:rPr>
          <w:sz w:val="24"/>
          <w:szCs w:val="24"/>
          <w:lang w:val="hr-HR"/>
        </w:rPr>
        <w:t>€. Slijedom navedenoga može se zaključiti da su planirani iznosi materijalnih rashoda u 202</w:t>
      </w:r>
      <w:r w:rsidR="001551F6">
        <w:rPr>
          <w:sz w:val="24"/>
          <w:szCs w:val="24"/>
          <w:lang w:val="hr-HR"/>
        </w:rPr>
        <w:t>7</w:t>
      </w:r>
      <w:r w:rsidRPr="00001147">
        <w:rPr>
          <w:sz w:val="24"/>
          <w:szCs w:val="24"/>
          <w:lang w:val="hr-HR"/>
        </w:rPr>
        <w:t>. i 202</w:t>
      </w:r>
      <w:r w:rsidR="001551F6">
        <w:rPr>
          <w:sz w:val="24"/>
          <w:szCs w:val="24"/>
          <w:lang w:val="hr-HR"/>
        </w:rPr>
        <w:t>8</w:t>
      </w:r>
      <w:r w:rsidRPr="00001147">
        <w:rPr>
          <w:sz w:val="24"/>
          <w:szCs w:val="24"/>
          <w:lang w:val="hr-HR"/>
        </w:rPr>
        <w:t>. godini neznatno i simbolično smanjeni u odnosu na plan iz 202</w:t>
      </w:r>
      <w:r w:rsidR="001551F6">
        <w:rPr>
          <w:sz w:val="24"/>
          <w:szCs w:val="24"/>
          <w:lang w:val="hr-HR"/>
        </w:rPr>
        <w:t>6</w:t>
      </w:r>
      <w:r w:rsidRPr="00001147">
        <w:rPr>
          <w:sz w:val="24"/>
          <w:szCs w:val="24"/>
          <w:lang w:val="hr-HR"/>
        </w:rPr>
        <w:t xml:space="preserve">. godine zbog </w:t>
      </w:r>
      <w:r w:rsidR="001551F6">
        <w:rPr>
          <w:sz w:val="24"/>
          <w:szCs w:val="24"/>
          <w:lang w:val="hr-HR"/>
        </w:rPr>
        <w:t>dostavljenih limita i raspodjele troškova.</w:t>
      </w:r>
    </w:p>
    <w:p w14:paraId="79C23D19" w14:textId="77777777" w:rsidR="00780A30" w:rsidRDefault="00780A30" w:rsidP="00A92045">
      <w:pPr>
        <w:spacing w:after="0"/>
        <w:rPr>
          <w:b/>
          <w:szCs w:val="22"/>
          <w:lang w:val="hr-HR"/>
        </w:rPr>
      </w:pPr>
    </w:p>
    <w:p w14:paraId="6A7F87F3" w14:textId="77777777" w:rsidR="00ED5E78" w:rsidRDefault="00ED5E78" w:rsidP="00A92045">
      <w:pPr>
        <w:spacing w:after="0"/>
        <w:rPr>
          <w:b/>
          <w:szCs w:val="22"/>
          <w:lang w:val="hr-HR"/>
        </w:rPr>
      </w:pPr>
    </w:p>
    <w:p w14:paraId="3A22A3F8" w14:textId="252ACF93" w:rsidR="00ED5E78" w:rsidRPr="00001147" w:rsidRDefault="00ED5E78" w:rsidP="00ED5E78">
      <w:pPr>
        <w:rPr>
          <w:color w:val="000000" w:themeColor="text1"/>
          <w:sz w:val="24"/>
          <w:szCs w:val="24"/>
        </w:rPr>
      </w:pPr>
      <w:r w:rsidRPr="00001147">
        <w:rPr>
          <w:b/>
          <w:sz w:val="24"/>
          <w:szCs w:val="24"/>
          <w:lang w:val="hr-HR"/>
        </w:rPr>
        <w:lastRenderedPageBreak/>
        <w:t xml:space="preserve">34 Financijski rashodi - </w:t>
      </w:r>
      <w:r w:rsidRPr="00001147">
        <w:rPr>
          <w:color w:val="000000" w:themeColor="text1"/>
          <w:sz w:val="24"/>
          <w:szCs w:val="24"/>
        </w:rPr>
        <w:t>Financijski rashodi planiraju se u iznosu od</w:t>
      </w:r>
      <w:r w:rsidRPr="00001147">
        <w:rPr>
          <w:sz w:val="24"/>
          <w:szCs w:val="24"/>
        </w:rPr>
        <w:t xml:space="preserve"> </w:t>
      </w:r>
      <w:r w:rsidRPr="00001147">
        <w:rPr>
          <w:iCs/>
          <w:sz w:val="24"/>
          <w:szCs w:val="24"/>
        </w:rPr>
        <w:t xml:space="preserve">1.300,00 € </w:t>
      </w:r>
      <w:r w:rsidRPr="00001147">
        <w:rPr>
          <w:color w:val="000000" w:themeColor="text1"/>
          <w:sz w:val="24"/>
          <w:szCs w:val="24"/>
        </w:rPr>
        <w:t>za bankarske usluge i usluge platnog prometa. Za 202</w:t>
      </w:r>
      <w:r>
        <w:rPr>
          <w:color w:val="000000" w:themeColor="text1"/>
          <w:sz w:val="24"/>
          <w:szCs w:val="24"/>
        </w:rPr>
        <w:t>7</w:t>
      </w:r>
      <w:r w:rsidRPr="00001147">
        <w:rPr>
          <w:color w:val="000000" w:themeColor="text1"/>
          <w:sz w:val="24"/>
          <w:szCs w:val="24"/>
        </w:rPr>
        <w:t>. godinu planirano je isto 1.300,00 €, kao i za 202</w:t>
      </w:r>
      <w:r>
        <w:rPr>
          <w:color w:val="000000" w:themeColor="text1"/>
          <w:sz w:val="24"/>
          <w:szCs w:val="24"/>
        </w:rPr>
        <w:t>8</w:t>
      </w:r>
      <w:r w:rsidRPr="00001147">
        <w:rPr>
          <w:color w:val="000000" w:themeColor="text1"/>
          <w:sz w:val="24"/>
          <w:szCs w:val="24"/>
        </w:rPr>
        <w:t xml:space="preserve">. godinu planiran iznos od </w:t>
      </w:r>
      <w:r w:rsidRPr="00001147">
        <w:rPr>
          <w:iCs/>
          <w:sz w:val="24"/>
          <w:szCs w:val="24"/>
        </w:rPr>
        <w:t>1.300,00 €. Iznos rashoda temelji se na činjenici da se svi nalozi za plaćanje od listopada 2023. godine izvršavaju sa računa kaznenoga tijela, a ne više na način da se učitavaju u riznicu putem Financijske agencije na teret računa Državnoga proračuna. Slijedom navedenoga će se sve naknade za bankarske usluge u slijedećim godinama evidentirati na rashodima zatvora.</w:t>
      </w:r>
    </w:p>
    <w:p w14:paraId="7E4E75FB" w14:textId="77777777" w:rsidR="00ED5E78" w:rsidRDefault="00ED5E78" w:rsidP="00A92045">
      <w:pPr>
        <w:spacing w:after="0"/>
        <w:rPr>
          <w:b/>
          <w:szCs w:val="22"/>
          <w:lang w:val="hr-HR"/>
        </w:rPr>
      </w:pPr>
    </w:p>
    <w:p w14:paraId="2B29A211" w14:textId="1ECFE2AC" w:rsidR="00ED5E78" w:rsidRPr="00001147" w:rsidRDefault="00ED5E78" w:rsidP="00ED5E78">
      <w:pPr>
        <w:spacing w:after="0"/>
        <w:rPr>
          <w:iCs/>
          <w:sz w:val="24"/>
          <w:szCs w:val="24"/>
        </w:rPr>
      </w:pPr>
      <w:r w:rsidRPr="00001147">
        <w:rPr>
          <w:b/>
          <w:sz w:val="24"/>
          <w:szCs w:val="24"/>
          <w:lang w:val="hr-HR"/>
        </w:rPr>
        <w:t xml:space="preserve">42 Rashodi za nabavu proizvedene dugotrajne imovine - </w:t>
      </w:r>
      <w:r w:rsidRPr="00001147">
        <w:rPr>
          <w:iCs/>
          <w:sz w:val="24"/>
          <w:szCs w:val="24"/>
        </w:rPr>
        <w:t>Za nabavu nefinancijske imovine u 202</w:t>
      </w:r>
      <w:r>
        <w:rPr>
          <w:iCs/>
          <w:sz w:val="24"/>
          <w:szCs w:val="24"/>
        </w:rPr>
        <w:t>6</w:t>
      </w:r>
      <w:r w:rsidRPr="00001147">
        <w:rPr>
          <w:iCs/>
          <w:sz w:val="24"/>
          <w:szCs w:val="24"/>
        </w:rPr>
        <w:t xml:space="preserve">. godini planira se utrošiti </w:t>
      </w:r>
      <w:r>
        <w:rPr>
          <w:iCs/>
          <w:sz w:val="24"/>
          <w:szCs w:val="24"/>
        </w:rPr>
        <w:t>1</w:t>
      </w:r>
      <w:r w:rsidRPr="00001147">
        <w:rPr>
          <w:iCs/>
          <w:sz w:val="24"/>
          <w:szCs w:val="24"/>
        </w:rPr>
        <w:t>.000,00 € za nabavu hladnjaka i škrinje u skladištu (kuhinji) zatvora</w:t>
      </w:r>
      <w:r>
        <w:rPr>
          <w:iCs/>
          <w:sz w:val="24"/>
          <w:szCs w:val="24"/>
        </w:rPr>
        <w:t>, a u 2026. godini za nabau ostale potrebne opreme za kuhinju.</w:t>
      </w:r>
    </w:p>
    <w:p w14:paraId="756B9DC2" w14:textId="77777777" w:rsidR="006B30D5" w:rsidRDefault="006B30D5" w:rsidP="006F1566">
      <w:pPr>
        <w:rPr>
          <w:b/>
          <w:bCs/>
          <w:sz w:val="24"/>
          <w:szCs w:val="24"/>
        </w:rPr>
      </w:pPr>
    </w:p>
    <w:p w14:paraId="7CB41449" w14:textId="77777777" w:rsidR="006B30D5" w:rsidRDefault="006B30D5" w:rsidP="006F1566">
      <w:pPr>
        <w:rPr>
          <w:b/>
          <w:bCs/>
          <w:sz w:val="24"/>
          <w:szCs w:val="24"/>
        </w:rPr>
      </w:pPr>
    </w:p>
    <w:p w14:paraId="7CA75A74" w14:textId="3C9008F3" w:rsidR="006F1566" w:rsidRPr="00F0265C" w:rsidRDefault="006F1566" w:rsidP="006F1566">
      <w:pPr>
        <w:rPr>
          <w:b/>
          <w:bCs/>
          <w:sz w:val="24"/>
          <w:szCs w:val="24"/>
        </w:rPr>
      </w:pPr>
      <w:r w:rsidRPr="00F0265C">
        <w:rPr>
          <w:b/>
          <w:bCs/>
          <w:sz w:val="24"/>
          <w:szCs w:val="24"/>
        </w:rPr>
        <w:t>A630113 IZVRŠAVANJE KAZNE ZATVORA, MJERE PRITVORA I ODGOJNE MJERE (IZ EVIDENCIJSKIH PRIHODA)</w:t>
      </w:r>
    </w:p>
    <w:p w14:paraId="7685F828" w14:textId="0C8E0654" w:rsidR="006F1566" w:rsidRPr="00C41928" w:rsidRDefault="006F1566" w:rsidP="006F1566">
      <w:pPr>
        <w:rPr>
          <w:szCs w:val="22"/>
        </w:rPr>
      </w:pP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60"/>
        <w:gridCol w:w="1544"/>
        <w:gridCol w:w="1511"/>
        <w:gridCol w:w="1545"/>
        <w:gridCol w:w="1545"/>
        <w:gridCol w:w="1545"/>
        <w:gridCol w:w="1056"/>
      </w:tblGrid>
      <w:tr w:rsidR="00AF626C" w:rsidRPr="00C41928" w14:paraId="3F75000B" w14:textId="77777777" w:rsidTr="006F1566">
        <w:trPr>
          <w:jc w:val="center"/>
        </w:trPr>
        <w:tc>
          <w:tcPr>
            <w:tcW w:w="1460" w:type="dxa"/>
            <w:shd w:val="clear" w:color="auto" w:fill="B5C0D8"/>
          </w:tcPr>
          <w:p w14:paraId="35624460" w14:textId="77777777" w:rsidR="00AF626C" w:rsidRPr="00C41928" w:rsidRDefault="00AF626C" w:rsidP="00AF626C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Aktivnost</w:t>
            </w:r>
          </w:p>
        </w:tc>
        <w:tc>
          <w:tcPr>
            <w:tcW w:w="1544" w:type="dxa"/>
            <w:shd w:val="clear" w:color="auto" w:fill="B5C0D8"/>
            <w:vAlign w:val="top"/>
          </w:tcPr>
          <w:p w14:paraId="15E5D48B" w14:textId="1E7585B8" w:rsidR="00AF626C" w:rsidRPr="00C41928" w:rsidRDefault="00AF626C" w:rsidP="00AF626C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Izvršenje 202</w:t>
            </w:r>
            <w:r w:rsidR="0026760D">
              <w:rPr>
                <w:rFonts w:cs="Times New Roman"/>
                <w:sz w:val="22"/>
              </w:rPr>
              <w:t>4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511" w:type="dxa"/>
            <w:shd w:val="clear" w:color="auto" w:fill="B5C0D8"/>
            <w:vAlign w:val="top"/>
          </w:tcPr>
          <w:p w14:paraId="2D179EC8" w14:textId="5C278FDD" w:rsidR="00AF626C" w:rsidRPr="00C41928" w:rsidRDefault="00AF626C" w:rsidP="00AF626C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Plan 202</w:t>
            </w:r>
            <w:r w:rsidR="0026760D">
              <w:rPr>
                <w:rFonts w:cs="Times New Roman"/>
                <w:sz w:val="22"/>
              </w:rPr>
              <w:t>5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545" w:type="dxa"/>
            <w:shd w:val="clear" w:color="auto" w:fill="B5C0D8"/>
            <w:vAlign w:val="top"/>
          </w:tcPr>
          <w:p w14:paraId="7E3320AA" w14:textId="11253A8C" w:rsidR="00AF626C" w:rsidRPr="00C41928" w:rsidRDefault="00AF626C" w:rsidP="00AF626C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26760D">
              <w:rPr>
                <w:rFonts w:cs="Times New Roman"/>
                <w:b/>
                <w:bCs w:val="0"/>
                <w:sz w:val="22"/>
              </w:rPr>
              <w:t>6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45" w:type="dxa"/>
            <w:shd w:val="clear" w:color="auto" w:fill="B5C0D8"/>
            <w:vAlign w:val="top"/>
          </w:tcPr>
          <w:p w14:paraId="0A791AF0" w14:textId="2DF17805" w:rsidR="00AF626C" w:rsidRPr="00C41928" w:rsidRDefault="00AF626C" w:rsidP="00AF626C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26760D">
              <w:rPr>
                <w:rFonts w:cs="Times New Roman"/>
                <w:b/>
                <w:bCs w:val="0"/>
                <w:sz w:val="22"/>
              </w:rPr>
              <w:t>7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45" w:type="dxa"/>
            <w:shd w:val="clear" w:color="auto" w:fill="B5C0D8"/>
            <w:vAlign w:val="top"/>
          </w:tcPr>
          <w:p w14:paraId="630B225B" w14:textId="517DA86A" w:rsidR="00AF626C" w:rsidRPr="00C41928" w:rsidRDefault="00AF626C" w:rsidP="00AF626C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26760D">
              <w:rPr>
                <w:rFonts w:cs="Times New Roman"/>
                <w:b/>
                <w:bCs w:val="0"/>
                <w:sz w:val="22"/>
              </w:rPr>
              <w:t>8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056" w:type="dxa"/>
            <w:shd w:val="clear" w:color="auto" w:fill="B5C0D8"/>
            <w:vAlign w:val="top"/>
          </w:tcPr>
          <w:p w14:paraId="3D31ED9A" w14:textId="6F12FA74" w:rsidR="00AF626C" w:rsidRPr="00C41928" w:rsidRDefault="00AF626C" w:rsidP="00AF626C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Indeks 202</w:t>
            </w:r>
            <w:r w:rsidR="0026760D">
              <w:rPr>
                <w:rFonts w:cs="Times New Roman"/>
                <w:sz w:val="22"/>
              </w:rPr>
              <w:t>6</w:t>
            </w:r>
            <w:r w:rsidRPr="00C41928">
              <w:rPr>
                <w:rFonts w:cs="Times New Roman"/>
                <w:sz w:val="22"/>
              </w:rPr>
              <w:t>/202</w:t>
            </w:r>
            <w:r w:rsidR="0026760D">
              <w:rPr>
                <w:rFonts w:cs="Times New Roman"/>
                <w:sz w:val="22"/>
              </w:rPr>
              <w:t>5</w:t>
            </w:r>
          </w:p>
        </w:tc>
      </w:tr>
      <w:tr w:rsidR="006F1566" w:rsidRPr="00C41928" w14:paraId="3695D708" w14:textId="77777777" w:rsidTr="006F1566">
        <w:trPr>
          <w:jc w:val="center"/>
        </w:trPr>
        <w:tc>
          <w:tcPr>
            <w:tcW w:w="1460" w:type="dxa"/>
            <w:vAlign w:val="top"/>
          </w:tcPr>
          <w:p w14:paraId="068F6A56" w14:textId="68C430F3" w:rsidR="006F1566" w:rsidRPr="00C41928" w:rsidRDefault="006F1566" w:rsidP="00F66F5D">
            <w:pPr>
              <w:pStyle w:val="Naslov4"/>
              <w:spacing w:after="0"/>
              <w:jc w:val="center"/>
              <w:rPr>
                <w:sz w:val="22"/>
                <w:szCs w:val="22"/>
              </w:rPr>
            </w:pPr>
            <w:r w:rsidRPr="00C41928">
              <w:rPr>
                <w:b w:val="0"/>
                <w:bCs w:val="0"/>
                <w:i/>
                <w:iCs/>
                <w:sz w:val="22"/>
                <w:szCs w:val="22"/>
              </w:rPr>
              <w:t>A630113</w:t>
            </w:r>
          </w:p>
        </w:tc>
        <w:tc>
          <w:tcPr>
            <w:tcW w:w="1544" w:type="dxa"/>
            <w:vAlign w:val="top"/>
          </w:tcPr>
          <w:p w14:paraId="46EF0B88" w14:textId="09CDDEE4" w:rsidR="006F1566" w:rsidRPr="00C41928" w:rsidRDefault="00AB690C" w:rsidP="00F66F5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720,86</w:t>
            </w:r>
          </w:p>
        </w:tc>
        <w:tc>
          <w:tcPr>
            <w:tcW w:w="1511" w:type="dxa"/>
            <w:vAlign w:val="top"/>
          </w:tcPr>
          <w:p w14:paraId="5B9A3347" w14:textId="5AFEF719" w:rsidR="006F1566" w:rsidRPr="00C41928" w:rsidRDefault="00ED5E78" w:rsidP="00F66F5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  <w:tc>
          <w:tcPr>
            <w:tcW w:w="1545" w:type="dxa"/>
            <w:vAlign w:val="top"/>
          </w:tcPr>
          <w:p w14:paraId="45AE0096" w14:textId="03A7F58D" w:rsidR="006F1566" w:rsidRPr="00C41928" w:rsidRDefault="00ED5E78" w:rsidP="00F66F5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790,00</w:t>
            </w:r>
          </w:p>
        </w:tc>
        <w:tc>
          <w:tcPr>
            <w:tcW w:w="1545" w:type="dxa"/>
            <w:vAlign w:val="top"/>
          </w:tcPr>
          <w:p w14:paraId="3F595382" w14:textId="62FC5F20" w:rsidR="006F1566" w:rsidRPr="00C41928" w:rsidRDefault="00ED5E78" w:rsidP="00F66F5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790,00</w:t>
            </w:r>
          </w:p>
        </w:tc>
        <w:tc>
          <w:tcPr>
            <w:tcW w:w="1545" w:type="dxa"/>
            <w:vAlign w:val="top"/>
          </w:tcPr>
          <w:p w14:paraId="60E573F9" w14:textId="3D377BDF" w:rsidR="006F1566" w:rsidRPr="00C41928" w:rsidRDefault="00ED5E78" w:rsidP="00F66F5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790,00</w:t>
            </w:r>
          </w:p>
        </w:tc>
        <w:tc>
          <w:tcPr>
            <w:tcW w:w="1056" w:type="dxa"/>
            <w:vAlign w:val="top"/>
          </w:tcPr>
          <w:p w14:paraId="5D9EF7D0" w14:textId="307E87AB" w:rsidR="006F1566" w:rsidRPr="00C41928" w:rsidRDefault="00A50149" w:rsidP="00F66F5D">
            <w:pPr>
              <w:spacing w:after="0"/>
              <w:jc w:val="center"/>
              <w:rPr>
                <w:sz w:val="22"/>
                <w:szCs w:val="22"/>
              </w:rPr>
            </w:pPr>
            <w:r w:rsidRPr="00A50149">
              <w:rPr>
                <w:sz w:val="22"/>
                <w:szCs w:val="22"/>
              </w:rPr>
              <w:t>1,1</w:t>
            </w:r>
            <w:r>
              <w:rPr>
                <w:sz w:val="22"/>
                <w:szCs w:val="22"/>
              </w:rPr>
              <w:t>3</w:t>
            </w:r>
          </w:p>
        </w:tc>
      </w:tr>
    </w:tbl>
    <w:p w14:paraId="64A60733" w14:textId="77777777" w:rsidR="006F1566" w:rsidRPr="00C41928" w:rsidRDefault="006F1566" w:rsidP="006F1566">
      <w:pPr>
        <w:rPr>
          <w:szCs w:val="22"/>
        </w:rPr>
      </w:pPr>
    </w:p>
    <w:p w14:paraId="78C2395D" w14:textId="77777777" w:rsidR="00A71F4F" w:rsidRPr="00001147" w:rsidRDefault="00A71F4F" w:rsidP="00A71F4F">
      <w:pPr>
        <w:rPr>
          <w:iCs/>
          <w:sz w:val="24"/>
          <w:szCs w:val="24"/>
        </w:rPr>
      </w:pPr>
      <w:r w:rsidRPr="00001147">
        <w:rPr>
          <w:iCs/>
          <w:sz w:val="24"/>
          <w:szCs w:val="24"/>
        </w:rPr>
        <w:t>Evidencijski prihodi koriste se za podmirivanje materijalnih rashoda poslovanja i poboljšanje uvjeta života u Zatvorima i kaznionicama.</w:t>
      </w:r>
    </w:p>
    <w:p w14:paraId="4E1FA4E9" w14:textId="462408B3" w:rsidR="00A71F4F" w:rsidRPr="0082755E" w:rsidRDefault="00A71F4F" w:rsidP="00A71F4F">
      <w:pPr>
        <w:rPr>
          <w:iCs/>
          <w:sz w:val="24"/>
          <w:szCs w:val="24"/>
        </w:rPr>
      </w:pPr>
      <w:r w:rsidRPr="00001147">
        <w:rPr>
          <w:iCs/>
          <w:sz w:val="24"/>
          <w:szCs w:val="24"/>
        </w:rPr>
        <w:t>Izvor 31 Vlastiti prihodi - Planirana sredstva za 202</w:t>
      </w:r>
      <w:r>
        <w:rPr>
          <w:iCs/>
          <w:sz w:val="24"/>
          <w:szCs w:val="24"/>
        </w:rPr>
        <w:t>6</w:t>
      </w:r>
      <w:r w:rsidRPr="00001147">
        <w:rPr>
          <w:iCs/>
          <w:sz w:val="24"/>
          <w:szCs w:val="24"/>
        </w:rPr>
        <w:t>. godinu iznose 7</w:t>
      </w:r>
      <w:r>
        <w:rPr>
          <w:iCs/>
          <w:sz w:val="24"/>
          <w:szCs w:val="24"/>
        </w:rPr>
        <w:t>9</w:t>
      </w:r>
      <w:r w:rsidRPr="00001147">
        <w:rPr>
          <w:iCs/>
          <w:sz w:val="24"/>
          <w:szCs w:val="24"/>
        </w:rPr>
        <w:t>0,00 € i namijenjena su za pokriće materijalnih izdataka vezanih uz poslovanje zatvora te za poboljšanje uvjeta života i rada zatvorenika. Tako će se planiranim iznosom od 500,00 € podmiriti troškovi za nabavu sitnog inventara te 2</w:t>
      </w:r>
      <w:r>
        <w:rPr>
          <w:iCs/>
          <w:sz w:val="24"/>
          <w:szCs w:val="24"/>
        </w:rPr>
        <w:t>9</w:t>
      </w:r>
      <w:r w:rsidRPr="00001147">
        <w:rPr>
          <w:iCs/>
          <w:sz w:val="24"/>
          <w:szCs w:val="24"/>
        </w:rPr>
        <w:t>0,00 € za nabavu sporstke opreme kojima će se poboljšati boravak osoba na izdržavanju kazne zatvora. Isti iznosi planirani su i za 202</w:t>
      </w:r>
      <w:r>
        <w:rPr>
          <w:iCs/>
          <w:sz w:val="24"/>
          <w:szCs w:val="24"/>
        </w:rPr>
        <w:t>7</w:t>
      </w:r>
      <w:r w:rsidRPr="00001147">
        <w:rPr>
          <w:iCs/>
          <w:sz w:val="24"/>
          <w:szCs w:val="24"/>
        </w:rPr>
        <w:t>. i 202</w:t>
      </w:r>
      <w:r>
        <w:rPr>
          <w:iCs/>
          <w:sz w:val="24"/>
          <w:szCs w:val="24"/>
        </w:rPr>
        <w:t>8</w:t>
      </w:r>
      <w:r w:rsidRPr="00001147">
        <w:rPr>
          <w:iCs/>
          <w:sz w:val="24"/>
          <w:szCs w:val="24"/>
        </w:rPr>
        <w:t>. godinu zbog očekivane iste razine aktivnosti zbog koji ti troškovi nastaju, a koji ovise o aktivnosti radnoga angažiranja zatvorenika te prihoda s osnove sprovođenja i usluga fotokopiranja sukladno zahtjevima zatvorenika.</w:t>
      </w:r>
    </w:p>
    <w:p w14:paraId="3202EBDF" w14:textId="77777777" w:rsidR="00AC272E" w:rsidRPr="00C41928" w:rsidRDefault="00AC272E" w:rsidP="006F1566">
      <w:pPr>
        <w:rPr>
          <w:szCs w:val="22"/>
        </w:rPr>
      </w:pPr>
    </w:p>
    <w:sectPr w:rsidR="00AC272E" w:rsidRPr="00C41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F3552"/>
    <w:multiLevelType w:val="hybridMultilevel"/>
    <w:tmpl w:val="14AA065C"/>
    <w:lvl w:ilvl="0" w:tplc="02A0F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FF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619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1DA"/>
    <w:rsid w:val="000208AF"/>
    <w:rsid w:val="00082BE5"/>
    <w:rsid w:val="000A4D6A"/>
    <w:rsid w:val="000B1CBD"/>
    <w:rsid w:val="000F7AF5"/>
    <w:rsid w:val="00102F7C"/>
    <w:rsid w:val="00105318"/>
    <w:rsid w:val="001247E6"/>
    <w:rsid w:val="00125808"/>
    <w:rsid w:val="00127057"/>
    <w:rsid w:val="001551F6"/>
    <w:rsid w:val="00164972"/>
    <w:rsid w:val="001A54B2"/>
    <w:rsid w:val="001C051D"/>
    <w:rsid w:val="001C06AC"/>
    <w:rsid w:val="001E76CC"/>
    <w:rsid w:val="00203EDE"/>
    <w:rsid w:val="00245BD6"/>
    <w:rsid w:val="00246D08"/>
    <w:rsid w:val="002671F3"/>
    <w:rsid w:val="0026760D"/>
    <w:rsid w:val="002B53CD"/>
    <w:rsid w:val="002C2C31"/>
    <w:rsid w:val="002E19EB"/>
    <w:rsid w:val="002E40C8"/>
    <w:rsid w:val="002F26AE"/>
    <w:rsid w:val="003666A2"/>
    <w:rsid w:val="003E5E94"/>
    <w:rsid w:val="003E76DC"/>
    <w:rsid w:val="003F65D4"/>
    <w:rsid w:val="00420ACA"/>
    <w:rsid w:val="00423984"/>
    <w:rsid w:val="00447C90"/>
    <w:rsid w:val="0046585B"/>
    <w:rsid w:val="004A5EAF"/>
    <w:rsid w:val="004B3431"/>
    <w:rsid w:val="004F0CE3"/>
    <w:rsid w:val="00504F5F"/>
    <w:rsid w:val="0053119B"/>
    <w:rsid w:val="005473BC"/>
    <w:rsid w:val="00562D8E"/>
    <w:rsid w:val="005D412F"/>
    <w:rsid w:val="005E7265"/>
    <w:rsid w:val="005F294D"/>
    <w:rsid w:val="0061283E"/>
    <w:rsid w:val="00626790"/>
    <w:rsid w:val="00642B64"/>
    <w:rsid w:val="00682EA5"/>
    <w:rsid w:val="00685702"/>
    <w:rsid w:val="006B30D5"/>
    <w:rsid w:val="006F1566"/>
    <w:rsid w:val="006F5BFA"/>
    <w:rsid w:val="00702E47"/>
    <w:rsid w:val="00715421"/>
    <w:rsid w:val="00730819"/>
    <w:rsid w:val="00747AE5"/>
    <w:rsid w:val="007751BE"/>
    <w:rsid w:val="00780A30"/>
    <w:rsid w:val="0079156F"/>
    <w:rsid w:val="00794338"/>
    <w:rsid w:val="007B2A73"/>
    <w:rsid w:val="007B770D"/>
    <w:rsid w:val="007C25AF"/>
    <w:rsid w:val="007D4E0C"/>
    <w:rsid w:val="00802E9F"/>
    <w:rsid w:val="00846638"/>
    <w:rsid w:val="0085497A"/>
    <w:rsid w:val="00883561"/>
    <w:rsid w:val="008B68BC"/>
    <w:rsid w:val="008D620A"/>
    <w:rsid w:val="008E11DA"/>
    <w:rsid w:val="008F1913"/>
    <w:rsid w:val="008F4791"/>
    <w:rsid w:val="008F7B70"/>
    <w:rsid w:val="00907DE9"/>
    <w:rsid w:val="00944E93"/>
    <w:rsid w:val="00946E6E"/>
    <w:rsid w:val="00961E62"/>
    <w:rsid w:val="00983755"/>
    <w:rsid w:val="0098542F"/>
    <w:rsid w:val="00A50149"/>
    <w:rsid w:val="00A52EED"/>
    <w:rsid w:val="00A56673"/>
    <w:rsid w:val="00A647C0"/>
    <w:rsid w:val="00A71F4F"/>
    <w:rsid w:val="00A92045"/>
    <w:rsid w:val="00AB690C"/>
    <w:rsid w:val="00AC272E"/>
    <w:rsid w:val="00AC54DD"/>
    <w:rsid w:val="00AF626C"/>
    <w:rsid w:val="00B141F6"/>
    <w:rsid w:val="00B233FC"/>
    <w:rsid w:val="00B34268"/>
    <w:rsid w:val="00B555F1"/>
    <w:rsid w:val="00B5787C"/>
    <w:rsid w:val="00B71F85"/>
    <w:rsid w:val="00B72BF0"/>
    <w:rsid w:val="00B837A5"/>
    <w:rsid w:val="00B8661F"/>
    <w:rsid w:val="00BA6909"/>
    <w:rsid w:val="00BE1188"/>
    <w:rsid w:val="00C053D7"/>
    <w:rsid w:val="00C41928"/>
    <w:rsid w:val="00C57CE7"/>
    <w:rsid w:val="00C8380E"/>
    <w:rsid w:val="00CA16CE"/>
    <w:rsid w:val="00CC530A"/>
    <w:rsid w:val="00D179C2"/>
    <w:rsid w:val="00D27D48"/>
    <w:rsid w:val="00D339C7"/>
    <w:rsid w:val="00D52131"/>
    <w:rsid w:val="00D52174"/>
    <w:rsid w:val="00D67468"/>
    <w:rsid w:val="00D82261"/>
    <w:rsid w:val="00D8378D"/>
    <w:rsid w:val="00D97DFF"/>
    <w:rsid w:val="00D97E9A"/>
    <w:rsid w:val="00DA0242"/>
    <w:rsid w:val="00DA76FE"/>
    <w:rsid w:val="00DF7781"/>
    <w:rsid w:val="00E105E6"/>
    <w:rsid w:val="00E37522"/>
    <w:rsid w:val="00E8270E"/>
    <w:rsid w:val="00ED3662"/>
    <w:rsid w:val="00ED5E78"/>
    <w:rsid w:val="00EE6B33"/>
    <w:rsid w:val="00F0265C"/>
    <w:rsid w:val="00F5287C"/>
    <w:rsid w:val="00F52A12"/>
    <w:rsid w:val="00F82283"/>
    <w:rsid w:val="00FC57A5"/>
    <w:rsid w:val="00FC6664"/>
    <w:rsid w:val="00FD2A0E"/>
    <w:rsid w:val="00FD7CB2"/>
    <w:rsid w:val="00FF059C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50EC"/>
  <w15:chartTrackingRefBased/>
  <w15:docId w15:val="{0BD9A173-D3C6-4B36-948A-CAC98D90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1D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4">
    <w:name w:val="heading 4"/>
    <w:basedOn w:val="Normal"/>
    <w:next w:val="Normal"/>
    <w:link w:val="Naslov4Char"/>
    <w:qFormat/>
    <w:rsid w:val="008E11D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E11DA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E11D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8E11DA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8E11DA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8E11DA"/>
  </w:style>
  <w:style w:type="table" w:customStyle="1" w:styleId="StilTablice">
    <w:name w:val="StilTablice"/>
    <w:basedOn w:val="Obinatablica"/>
    <w:uiPriority w:val="99"/>
    <w:rsid w:val="008E11D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Referencakomentara">
    <w:name w:val="annotation reference"/>
    <w:basedOn w:val="Zadanifontodlomka"/>
    <w:uiPriority w:val="99"/>
    <w:semiHidden/>
    <w:unhideWhenUsed/>
    <w:rsid w:val="008E11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11D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11D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8E11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265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Barišić</dc:creator>
  <cp:keywords/>
  <dc:description/>
  <cp:lastModifiedBy>Marija Grbin Živković</cp:lastModifiedBy>
  <cp:revision>2</cp:revision>
  <cp:lastPrinted>2023-05-24T12:10:00Z</cp:lastPrinted>
  <dcterms:created xsi:type="dcterms:W3CDTF">2026-02-09T10:42:00Z</dcterms:created>
  <dcterms:modified xsi:type="dcterms:W3CDTF">2026-02-09T10:42:00Z</dcterms:modified>
</cp:coreProperties>
</file>